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64" w:rsidRDefault="00E20564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E20564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Шебалинский  сельсовет Бийского района Алтайского края</w:t>
            </w: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правовых актов</w:t>
            </w:r>
          </w:p>
          <w:p w:rsidR="00E20564" w:rsidRDefault="00C769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Шебалинский сельсовет Бийского района Алтайского края</w:t>
            </w:r>
          </w:p>
          <w:p w:rsidR="00E20564" w:rsidRDefault="0078591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6</w:t>
            </w: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Официальное издание</w:t>
            </w: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Шебалинского сельсовета Бийского района</w:t>
            </w: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  <w:p w:rsidR="00E20564" w:rsidRDefault="00E20564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20564" w:rsidRDefault="00E20564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30203" w:rsidRDefault="00A30203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30203" w:rsidRDefault="00A30203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E20564" w:rsidRDefault="00C769C8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E20564" w:rsidRDefault="00E20564">
      <w:pPr>
        <w:spacing w:after="0" w:line="240" w:lineRule="auto"/>
      </w:pPr>
    </w:p>
    <w:p w:rsidR="00E20564" w:rsidRDefault="00E20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565" w:rsidRPr="004A7565" w:rsidRDefault="004A7565" w:rsidP="004A7565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 14</w:t>
      </w:r>
      <w:r w:rsidR="00670F2B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0</w:t>
      </w:r>
      <w:r w:rsidR="0012757C">
        <w:rPr>
          <w:rStyle w:val="6"/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6</w:t>
      </w:r>
      <w:r w:rsidR="00C769C8">
        <w:rPr>
          <w:rStyle w:val="6"/>
          <w:rFonts w:ascii="Times New Roman" w:hAnsi="Times New Roman" w:cs="Times New Roman"/>
          <w:color w:val="000000"/>
          <w:sz w:val="28"/>
          <w:szCs w:val="28"/>
        </w:rPr>
        <w:t>.2025 г</w:t>
      </w:r>
      <w:r w:rsidR="00C769C8" w:rsidRPr="004A7565">
        <w:rPr>
          <w:rStyle w:val="6"/>
          <w:rFonts w:ascii="Times New Roman" w:hAnsi="Times New Roman" w:cs="Times New Roman"/>
          <w:color w:val="000000"/>
          <w:sz w:val="28"/>
          <w:szCs w:val="28"/>
        </w:rPr>
        <w:t>.</w:t>
      </w:r>
      <w:r w:rsidR="00C769C8" w:rsidRPr="004A756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A7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исполнении бюджета за первый квартал 2025 года МО  </w:t>
      </w:r>
      <w:r w:rsidRPr="004A7565">
        <w:rPr>
          <w:rFonts w:ascii="Times New Roman" w:eastAsia="Times New Roman" w:hAnsi="Times New Roman"/>
          <w:sz w:val="28"/>
          <w:szCs w:val="28"/>
          <w:lang w:eastAsia="ru-RU"/>
        </w:rPr>
        <w:t xml:space="preserve"> «Шебалинский  сельсовет Бийского района  Алтайского края»</w:t>
      </w:r>
    </w:p>
    <w:p w:rsidR="00E20564" w:rsidRPr="00670F2B" w:rsidRDefault="00C03B6C" w:rsidP="00670F2B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12757C" w:rsidRPr="00670F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4A6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57C" w:rsidRPr="00670F2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769C8" w:rsidRPr="00425EF9"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:rsidR="00E20564" w:rsidRDefault="00E20564">
      <w:pPr>
        <w:contextualSpacing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</w:p>
    <w:p w:rsidR="00E20564" w:rsidRPr="00C03B6C" w:rsidRDefault="003938D5" w:rsidP="00C03B6C">
      <w:pPr>
        <w:pStyle w:val="af3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№ 15 </w:t>
      </w:r>
      <w:r w:rsidR="00670F2B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="00C769C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A7565">
        <w:rPr>
          <w:sz w:val="28"/>
          <w:szCs w:val="28"/>
        </w:rPr>
        <w:t xml:space="preserve">.2025 </w:t>
      </w:r>
      <w:r w:rsidR="00C769C8">
        <w:rPr>
          <w:sz w:val="28"/>
          <w:szCs w:val="28"/>
        </w:rPr>
        <w:t>г</w:t>
      </w:r>
      <w:r w:rsidR="004A7565">
        <w:rPr>
          <w:sz w:val="28"/>
          <w:szCs w:val="28"/>
        </w:rPr>
        <w:t>.</w:t>
      </w:r>
      <w:r w:rsidR="00670F2B" w:rsidRPr="00670F2B">
        <w:rPr>
          <w:b/>
        </w:rPr>
        <w:t xml:space="preserve"> </w:t>
      </w:r>
      <w:r w:rsidR="008149AA" w:rsidRPr="008149AA">
        <w:rPr>
          <w:sz w:val="28"/>
          <w:szCs w:val="28"/>
        </w:rPr>
        <w:t>О внесении изменений и дополнений</w:t>
      </w:r>
      <w:r w:rsidR="008149AA">
        <w:rPr>
          <w:sz w:val="28"/>
          <w:szCs w:val="28"/>
        </w:rPr>
        <w:t xml:space="preserve"> </w:t>
      </w:r>
      <w:r w:rsidR="008149AA" w:rsidRPr="008149AA">
        <w:rPr>
          <w:sz w:val="28"/>
          <w:szCs w:val="28"/>
        </w:rPr>
        <w:t>в решение Шебалинского СНД №9 от 30.09.2021г « Об утверждении</w:t>
      </w:r>
      <w:r w:rsidR="008149AA">
        <w:rPr>
          <w:sz w:val="28"/>
          <w:szCs w:val="28"/>
        </w:rPr>
        <w:t xml:space="preserve"> </w:t>
      </w:r>
      <w:r w:rsidR="008149AA" w:rsidRPr="008149AA">
        <w:rPr>
          <w:bCs/>
          <w:sz w:val="28"/>
          <w:szCs w:val="28"/>
        </w:rPr>
        <w:t>Положения о муниципальном</w:t>
      </w:r>
      <w:r w:rsidR="008149AA" w:rsidRPr="008149AA">
        <w:rPr>
          <w:bCs/>
          <w:sz w:val="28"/>
          <w:szCs w:val="28"/>
        </w:rPr>
        <w:t xml:space="preserve"> </w:t>
      </w:r>
      <w:r w:rsidR="008149AA" w:rsidRPr="008149AA">
        <w:rPr>
          <w:bCs/>
          <w:sz w:val="28"/>
          <w:szCs w:val="28"/>
        </w:rPr>
        <w:t>контроле в сфере благоустройства»</w:t>
      </w:r>
      <w:r w:rsidR="00C03B6C">
        <w:rPr>
          <w:bCs/>
          <w:sz w:val="28"/>
          <w:szCs w:val="28"/>
        </w:rPr>
        <w:t xml:space="preserve">                 </w:t>
      </w:r>
      <w:r w:rsidR="00670F2B"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6D40"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E20564" w:rsidRDefault="00C769C8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564" w:rsidRDefault="00C769C8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spacing w:after="200"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spacing w:after="200"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AC1C8F" w:rsidRDefault="00AC1C8F">
      <w:pPr>
        <w:spacing w:after="20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0564" w:rsidRPr="00C769C8" w:rsidRDefault="00E20564">
      <w:pPr>
        <w:jc w:val="center"/>
      </w:pPr>
    </w:p>
    <w:p w:rsidR="0078591C" w:rsidRPr="0078591C" w:rsidRDefault="0078591C" w:rsidP="0078591C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Российская Федерация</w:t>
      </w:r>
    </w:p>
    <w:p w:rsidR="0078591C" w:rsidRPr="0078591C" w:rsidRDefault="0078591C" w:rsidP="0078591C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Шебалинск</w:t>
      </w:r>
      <w:r w:rsidRPr="007859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ий сельский </w:t>
      </w: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78591C" w:rsidRPr="0078591C" w:rsidRDefault="0078591C" w:rsidP="0078591C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Бийского района Алтайского края</w:t>
      </w:r>
    </w:p>
    <w:p w:rsidR="0078591C" w:rsidRPr="0078591C" w:rsidRDefault="0078591C" w:rsidP="0078591C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78591C" w:rsidRPr="0078591C" w:rsidRDefault="0078591C" w:rsidP="0078591C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20.06.2025г. </w:t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  14</w:t>
      </w:r>
    </w:p>
    <w:p w:rsidR="0078591C" w:rsidRPr="0078591C" w:rsidRDefault="0078591C" w:rsidP="0078591C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>с. Шебалино</w:t>
      </w:r>
    </w:p>
    <w:p w:rsidR="0078591C" w:rsidRPr="0078591C" w:rsidRDefault="0078591C" w:rsidP="0078591C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200" w:line="276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исполнении бюджета </w:t>
      </w:r>
    </w:p>
    <w:p w:rsidR="0078591C" w:rsidRPr="0078591C" w:rsidRDefault="0078591C" w:rsidP="0078591C">
      <w:pPr>
        <w:suppressAutoHyphens w:val="0"/>
        <w:spacing w:after="200" w:line="276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первый квартал 2025 года </w:t>
      </w:r>
    </w:p>
    <w:p w:rsidR="0078591C" w:rsidRPr="0078591C" w:rsidRDefault="0078591C" w:rsidP="0078591C">
      <w:pPr>
        <w:suppressAutoHyphens w:val="0"/>
        <w:spacing w:after="20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  </w:t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«Шебалинский  сельсовет  </w:t>
      </w:r>
    </w:p>
    <w:p w:rsidR="0078591C" w:rsidRPr="0078591C" w:rsidRDefault="0078591C" w:rsidP="0078591C">
      <w:pPr>
        <w:suppressAutoHyphens w:val="0"/>
        <w:spacing w:after="200" w:line="276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>Бийского района  Алтайского края»</w:t>
      </w:r>
    </w:p>
    <w:p w:rsidR="0078591C" w:rsidRPr="0078591C" w:rsidRDefault="0078591C" w:rsidP="0078591C">
      <w:pPr>
        <w:suppressAutoHyphens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200" w:line="276" w:lineRule="auto"/>
        <w:ind w:firstLine="708"/>
        <w:contextualSpacing/>
        <w:jc w:val="both"/>
        <w:rPr>
          <w:rFonts w:eastAsia="Times New Roman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информацию </w:t>
      </w: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Шебалинского сельсовета П.Н. Назарова «Об исполнении бюджета за первое полугодие 2025 года МО </w:t>
      </w: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«Шебалинский  сельсовет  Бийского района  Алтайского края» (информация прилагается), Шебалинский  сельский Совет народных депутатов</w:t>
      </w:r>
      <w:r w:rsidRPr="0078591C">
        <w:rPr>
          <w:rFonts w:eastAsia="Times New Roman"/>
          <w:szCs w:val="28"/>
          <w:lang w:eastAsia="ru-RU"/>
        </w:rPr>
        <w:t xml:space="preserve"> </w:t>
      </w: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4"/>
          <w:lang w:eastAsia="ru-RU"/>
        </w:rPr>
        <w:t>Р Е Ш И Л:</w:t>
      </w: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8591C" w:rsidRPr="0078591C" w:rsidRDefault="0078591C" w:rsidP="0078591C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Информацию главы Шебалинского сельсовета П.Н.Назарова «Об исполнении бюджета за первое полугодие 2025 года МО «Шебалинский  сельсовет  Бийского района  Алтайского края» принять к сведению.</w:t>
      </w: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2.  Опубликовать настоящее решение, согласно Уставу .</w:t>
      </w:r>
    </w:p>
    <w:p w:rsidR="0078591C" w:rsidRPr="0078591C" w:rsidRDefault="0078591C" w:rsidP="0078591C">
      <w:pPr>
        <w:suppressAutoHyphens w:val="0"/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4"/>
          <w:lang w:eastAsia="ru-RU"/>
        </w:rPr>
        <w:t>Председатель Шебалинского</w:t>
      </w: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Совета народных депутатов                                       С.Н. Косых </w:t>
      </w:r>
    </w:p>
    <w:p w:rsid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5EF9" w:rsidRPr="00425EF9" w:rsidRDefault="00425EF9" w:rsidP="00425EF9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ШЕБАЛИНСКИЙ СЕЛЬСКИЙ СОВЕТ НАРОДНЫХ ДЕПУТАТОВ</w:t>
      </w:r>
    </w:p>
    <w:p w:rsidR="0078591C" w:rsidRPr="0078591C" w:rsidRDefault="0078591C" w:rsidP="0078591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>БИЙСКОГО РАЙОНА АЛТАЙСКОГО КРАЯ</w:t>
      </w:r>
    </w:p>
    <w:p w:rsidR="0078591C" w:rsidRPr="0078591C" w:rsidRDefault="0078591C" w:rsidP="0078591C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78591C" w:rsidRPr="0078591C" w:rsidRDefault="0078591C" w:rsidP="0078591C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20.06.2025                                      с. Шебалино                                        №15 </w:t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591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8591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8591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8591C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</w:t>
      </w:r>
    </w:p>
    <w:p w:rsidR="0078591C" w:rsidRPr="0078591C" w:rsidRDefault="0078591C" w:rsidP="0078591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59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8591C" w:rsidRPr="0078591C" w:rsidRDefault="0078591C" w:rsidP="0078591C">
      <w:pPr>
        <w:suppressAutoHyphens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78591C" w:rsidRPr="0078591C" w:rsidRDefault="0078591C" w:rsidP="0078591C">
      <w:pPr>
        <w:suppressAutoHyphens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решение Шебалинского СНД №9 от </w:t>
      </w:r>
    </w:p>
    <w:p w:rsidR="0078591C" w:rsidRPr="0078591C" w:rsidRDefault="0078591C" w:rsidP="0078591C">
      <w:pPr>
        <w:suppressAutoHyphens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>30.09.2021г « Об утверждении</w:t>
      </w:r>
    </w:p>
    <w:p w:rsidR="0078591C" w:rsidRPr="0078591C" w:rsidRDefault="0078591C" w:rsidP="0078591C">
      <w:pPr>
        <w:suppressAutoHyphens w:val="0"/>
        <w:spacing w:after="0" w:line="24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Положения о муниципальном</w:t>
      </w:r>
    </w:p>
    <w:p w:rsidR="0078591C" w:rsidRPr="0078591C" w:rsidRDefault="0078591C" w:rsidP="0078591C">
      <w:pPr>
        <w:suppressAutoHyphens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контроле в сфере благоустройства»</w:t>
      </w:r>
    </w:p>
    <w:p w:rsidR="0078591C" w:rsidRPr="0078591C" w:rsidRDefault="0078591C" w:rsidP="0078591C">
      <w:pPr>
        <w:shd w:val="clear" w:color="auto" w:fill="FFFFFF"/>
        <w:suppressAutoHyphens w:val="0"/>
        <w:spacing w:before="104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591C" w:rsidRPr="0078591C" w:rsidRDefault="0078591C" w:rsidP="0078591C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591C" w:rsidRPr="0078591C" w:rsidRDefault="0078591C" w:rsidP="0078591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</w:t>
      </w:r>
      <w:r w:rsidRPr="0078591C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 xml:space="preserve"> 31.07.2020 № 248-ФЗ « О государственном контроле (надзоре) и муниципальном контроле в Российской Федерации», Уставом муниципального образования Шебалинский  сельсовет Бийского района Алтайского края, протеста прокуратуры Бийского района от11.06.2025 № 02-52-2025/Прдп224-25-20010009/700, Шебалинский  сельский Совет  народных депутатов </w:t>
      </w: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8591C" w:rsidRPr="0078591C" w:rsidRDefault="0078591C" w:rsidP="0078591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 муниципальном контроле в сфере благоустройства</w:t>
      </w: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Шебалинский сельсовет Бийского района Алтайского края, а именно:  </w:t>
      </w:r>
    </w:p>
    <w:p w:rsidR="0078591C" w:rsidRPr="0078591C" w:rsidRDefault="0078591C" w:rsidP="0078591C">
      <w:pPr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Пункт 13 Положения признать утратившим силу;</w:t>
      </w:r>
    </w:p>
    <w:p w:rsidR="0078591C" w:rsidRPr="0078591C" w:rsidRDefault="0078591C" w:rsidP="0078591C">
      <w:pPr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Пункт 14 Положения дополнить абзацем: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78591C" w:rsidRPr="0078591C" w:rsidRDefault="0078591C" w:rsidP="0078591C">
      <w:pPr>
        <w:numPr>
          <w:ilvl w:val="0"/>
          <w:numId w:val="6"/>
        </w:numPr>
        <w:suppressAutoHyphens w:val="0"/>
        <w:spacing w:before="100" w:beforeAutospacing="1" w:after="0" w:afterAutospacing="1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20 Положения дополнить подпунктами: 5) обязательный профилактический визит; 6) профилактический визит по инициативе контролируемого лица.</w:t>
      </w:r>
    </w:p>
    <w:p w:rsidR="0078591C" w:rsidRPr="0078591C" w:rsidRDefault="0078591C" w:rsidP="0078591C">
      <w:pPr>
        <w:numPr>
          <w:ilvl w:val="0"/>
          <w:numId w:val="6"/>
        </w:numPr>
        <w:suppressAutoHyphens w:val="0"/>
        <w:spacing w:before="100" w:beforeAutospacing="1" w:after="0" w:afterAutospacing="1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В Положение добавлен новый пункт:</w:t>
      </w:r>
      <w:r w:rsidRPr="007859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20.1.</w:t>
      </w: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  <w:bookmarkStart w:id="1" w:name="l104"/>
      <w:bookmarkEnd w:id="1"/>
    </w:p>
    <w:p w:rsidR="0078591C" w:rsidRPr="0078591C" w:rsidRDefault="0078591C" w:rsidP="0078591C">
      <w:pPr>
        <w:suppressAutoHyphens w:val="0"/>
        <w:spacing w:before="100" w:beforeAutospacing="1" w:after="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  <w:bookmarkStart w:id="2" w:name="l11"/>
      <w:bookmarkEnd w:id="2"/>
    </w:p>
    <w:p w:rsidR="0078591C" w:rsidRPr="0078591C" w:rsidRDefault="0078591C" w:rsidP="0078591C">
      <w:pPr>
        <w:suppressAutoHyphens w:val="0"/>
        <w:spacing w:before="100" w:beforeAutospacing="1" w:after="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78591C" w:rsidRPr="0078591C" w:rsidRDefault="0078591C" w:rsidP="0078591C">
      <w:pPr>
        <w:suppressAutoHyphens w:val="0"/>
        <w:spacing w:before="100" w:beforeAutospacing="1" w:after="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5) Пункт 35 Положения дополнен абзацем: Основанием для проведения контрольных (надзорных) мероприятий может быть: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наличие у контрольного (надзорного) органа сведений о причинении вреда (ущерба) или об угрозе причинения вреда (ущерба) охраняемым законом ценностям;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истечение срока исполнения решения контрольного (надзорного) органа об устранении выявленного нарушения обязательных требований;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в случае, если представление такого уведомления является обязательным, или без лицензии,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76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- уклонение контролируемого лица от проведения обязательного профилактического визита.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6) Пункт 47 Положения дополнен абзацем:  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"Инспектор".;</w:t>
      </w:r>
    </w:p>
    <w:p w:rsidR="0078591C" w:rsidRPr="0078591C" w:rsidRDefault="0078591C" w:rsidP="0078591C">
      <w:pPr>
        <w:suppressAutoHyphens w:val="0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Cs/>
          <w:sz w:val="28"/>
          <w:szCs w:val="28"/>
          <w:lang w:eastAsia="ru-RU"/>
        </w:rPr>
        <w:t>7) В пункте 80 Положения слово «осуществляться» заменено словами «совершаться следующие контрольные действия»;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8) Пункт 82 Положения изложить в следующей редакции: В случае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соответствующей закупки органа прокуратуры ( при условии, что возможность проведения контрольной закупки или мониторинговой закупки в соответствии с настоящей статьей предусмотрена настоящим законом, федеральным законом о виде контроля). В отношении проведения контрольной закупки или мониторинговой закупки не требуется принятие решения о проведении данного контрольного (надзорного) мероприятия. Информация о проведении контрольной закупк или мониторинговой закупке вносится в единый реестр контроль</w:t>
      </w: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ных (надзорных) мероприятий в течение пяти рабочих дней с момента завершения контрольной закупки или мониторинговой закупки.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 xml:space="preserve">9) В Положение добавлены новые пункты: 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82.1.</w:t>
      </w: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Предписание об устранении выявленных нарушений обязательных требований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2.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3.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82.2.</w:t>
      </w:r>
      <w:r w:rsidRPr="0078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Соглашение о надлежащем устранении выявленных нарушений обязательных требований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7" w:anchor="dst100013" w:history="1">
        <w:r w:rsidRPr="0078591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 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8" w:anchor="dst101001" w:history="1">
        <w:r w:rsidRPr="0078591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пунктом 3 части 2 статьи 90</w:t>
        </w:r>
      </w:hyperlink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 настоящего Федерального закона, при этом осуществляя поэтапную оценку исполнения контролируемым лицом соглашения.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5. Соглашение должно включать: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1) перечень выявленных нарушений обязательных требований, подлежащих устранению контролируемым лицом;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срок исполнения соглашения.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8. 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9.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10. Контролируемое лицо не имеет права отказаться от исполнения соглашения в одностороннем порядке.</w:t>
      </w:r>
    </w:p>
    <w:p w:rsidR="0078591C" w:rsidRPr="0078591C" w:rsidRDefault="0078591C" w:rsidP="0078591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10)  Пункт 83 Положения признать утратившим силу.</w:t>
      </w:r>
    </w:p>
    <w:p w:rsidR="0078591C" w:rsidRPr="0078591C" w:rsidRDefault="0078591C" w:rsidP="0078591C">
      <w:pPr>
        <w:suppressAutoHyphens w:val="0"/>
        <w:spacing w:after="0" w:line="276" w:lineRule="auto"/>
        <w:ind w:left="4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 xml:space="preserve">.      Опубликовать данное решение в установленном порядке.   </w:t>
      </w:r>
    </w:p>
    <w:p w:rsidR="0078591C" w:rsidRPr="0078591C" w:rsidRDefault="0078591C" w:rsidP="0078591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.    Решение вступает в силу со дня, следующего за днем его официального опубликования.</w:t>
      </w:r>
    </w:p>
    <w:p w:rsidR="0078591C" w:rsidRPr="0078591C" w:rsidRDefault="0078591C" w:rsidP="0078591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Шебалинского </w:t>
      </w:r>
    </w:p>
    <w:p w:rsidR="0078591C" w:rsidRPr="0078591C" w:rsidRDefault="0078591C" w:rsidP="0078591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91C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народных депутатов ______________ С.Н. Косых</w:t>
      </w: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591C" w:rsidRPr="0078591C" w:rsidTr="00180EE0">
        <w:tc>
          <w:tcPr>
            <w:tcW w:w="2500" w:type="pct"/>
          </w:tcPr>
          <w:p w:rsidR="0078591C" w:rsidRPr="0078591C" w:rsidRDefault="0078591C" w:rsidP="007859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78591C" w:rsidRPr="0078591C" w:rsidRDefault="0078591C" w:rsidP="007859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8591C" w:rsidRPr="0078591C" w:rsidRDefault="0078591C" w:rsidP="0078591C">
      <w:pPr>
        <w:tabs>
          <w:tab w:val="left" w:pos="6465"/>
        </w:tabs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C769C8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lastRenderedPageBreak/>
        <w:t>СБОРНИК</w:t>
      </w:r>
    </w:p>
    <w:p w:rsidR="00E20564" w:rsidRDefault="00C769C8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E20564" w:rsidRDefault="00C769C8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Шебалинский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0564" w:rsidRDefault="00E205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E07A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N ( 6</w:t>
      </w:r>
      <w:r w:rsidR="00211FF3">
        <w:rPr>
          <w:rFonts w:ascii="Times New Roman" w:eastAsia="Times New Roman" w:hAnsi="Times New Roman"/>
          <w:sz w:val="28"/>
          <w:szCs w:val="28"/>
          <w:lang w:eastAsia="ru-RU"/>
        </w:rPr>
        <w:t xml:space="preserve"> )"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211FF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E20564" w:rsidRDefault="00E205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E20564" w:rsidRDefault="00E205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Бийский район, с. Шебалино, улица Ленина, дом 32.</w:t>
      </w:r>
    </w:p>
    <w:p w:rsidR="00E20564" w:rsidRDefault="00E205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C769C8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20564" w:rsidRDefault="00E205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C76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0564" w:rsidRDefault="00E20564">
      <w:pPr>
        <w:spacing w:after="0" w:line="240" w:lineRule="auto"/>
        <w:jc w:val="center"/>
      </w:pPr>
    </w:p>
    <w:p w:rsidR="00E20564" w:rsidRDefault="00E20564">
      <w:pPr>
        <w:spacing w:after="0" w:line="240" w:lineRule="auto"/>
        <w:jc w:val="center"/>
      </w:pP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Николаевич –  Глава Шебалинского сельсовета. </w:t>
      </w:r>
    </w:p>
    <w:p w:rsidR="00E20564" w:rsidRDefault="00E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E20564" w:rsidRDefault="00C769C8">
      <w:pPr>
        <w:spacing w:after="0" w:line="240" w:lineRule="auto"/>
        <w:ind w:firstLine="567"/>
        <w:jc w:val="both"/>
        <w:rPr>
          <w:rStyle w:val="a3"/>
          <w:i w:val="0"/>
        </w:rPr>
      </w:pPr>
      <w:r>
        <w:rPr>
          <w:rFonts w:ascii="Times New Roman" w:hAnsi="Times New Roman"/>
          <w:sz w:val="28"/>
          <w:szCs w:val="28"/>
        </w:rPr>
        <w:t>Одинцева Валентина Владимировна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E20564" w:rsidRDefault="00E20564">
      <w:pPr>
        <w:spacing w:after="0" w:line="240" w:lineRule="auto"/>
        <w:ind w:firstLine="567"/>
        <w:jc w:val="both"/>
        <w:rPr>
          <w:i/>
        </w:rPr>
      </w:pP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E20564" w:rsidRDefault="00E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/>
    <w:sectPr w:rsidR="00E20564" w:rsidSect="00F56D40">
      <w:footerReference w:type="even" r:id="rId9"/>
      <w:footerReference w:type="default" r:id="rId10"/>
      <w:footerReference w:type="first" r:id="rId11"/>
      <w:pgSz w:w="11906" w:h="16838"/>
      <w:pgMar w:top="1134" w:right="850" w:bottom="709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E2" w:rsidRDefault="00F02DE2">
      <w:pPr>
        <w:spacing w:after="0" w:line="240" w:lineRule="auto"/>
      </w:pPr>
      <w:r>
        <w:separator/>
      </w:r>
    </w:p>
  </w:endnote>
  <w:endnote w:type="continuationSeparator" w:id="0">
    <w:p w:rsidR="00F02DE2" w:rsidRDefault="00F0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8" w:rsidRDefault="00C769C8">
    <w:pPr>
      <w:pStyle w:val="a7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93"/>
      <w:docPartObj>
        <w:docPartGallery w:val="Page Numbers (Bottom of Page)"/>
        <w:docPartUnique/>
      </w:docPartObj>
    </w:sdtPr>
    <w:sdtEndPr/>
    <w:sdtContent>
      <w:p w:rsidR="00C769C8" w:rsidRDefault="00C769C8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C1C8F">
          <w:rPr>
            <w:noProof/>
          </w:rPr>
          <w:t>2</w:t>
        </w:r>
        <w:r>
          <w:fldChar w:fldCharType="end"/>
        </w:r>
      </w:p>
    </w:sdtContent>
  </w:sdt>
  <w:p w:rsidR="00C769C8" w:rsidRDefault="00C769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8" w:rsidRDefault="00C769C8">
    <w:pPr>
      <w:pStyle w:val="a7"/>
      <w:jc w:val="center"/>
    </w:pPr>
  </w:p>
  <w:p w:rsidR="00C769C8" w:rsidRDefault="00C769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E2" w:rsidRDefault="00F02DE2">
      <w:pPr>
        <w:spacing w:after="0" w:line="240" w:lineRule="auto"/>
      </w:pPr>
      <w:r>
        <w:separator/>
      </w:r>
    </w:p>
  </w:footnote>
  <w:footnote w:type="continuationSeparator" w:id="0">
    <w:p w:rsidR="00F02DE2" w:rsidRDefault="00F0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15F9"/>
    <w:multiLevelType w:val="hybridMultilevel"/>
    <w:tmpl w:val="EC228D18"/>
    <w:lvl w:ilvl="0" w:tplc="28AC94FC">
      <w:start w:val="2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1147C6A"/>
    <w:multiLevelType w:val="hybridMultilevel"/>
    <w:tmpl w:val="B330CEE0"/>
    <w:lvl w:ilvl="0" w:tplc="E9680324">
      <w:start w:val="1"/>
      <w:numFmt w:val="decimal"/>
      <w:lvlText w:val="%1)"/>
      <w:lvlJc w:val="left"/>
      <w:pPr>
        <w:ind w:left="81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F311D42"/>
    <w:multiLevelType w:val="hybridMultilevel"/>
    <w:tmpl w:val="899C92BA"/>
    <w:lvl w:ilvl="0" w:tplc="3EB2B9B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F1CC7"/>
    <w:multiLevelType w:val="multilevel"/>
    <w:tmpl w:val="83B4F6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  <w:color w:val="auto"/>
      </w:rPr>
    </w:lvl>
  </w:abstractNum>
  <w:abstractNum w:abstractNumId="4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5" w15:restartNumberingAfterBreak="0">
    <w:nsid w:val="75B20EFE"/>
    <w:multiLevelType w:val="hybridMultilevel"/>
    <w:tmpl w:val="D03C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64"/>
    <w:rsid w:val="000045EE"/>
    <w:rsid w:val="0012757C"/>
    <w:rsid w:val="00211FF3"/>
    <w:rsid w:val="003475D3"/>
    <w:rsid w:val="003938D5"/>
    <w:rsid w:val="00425EF9"/>
    <w:rsid w:val="004A67FB"/>
    <w:rsid w:val="004A7565"/>
    <w:rsid w:val="005266BB"/>
    <w:rsid w:val="00670F2B"/>
    <w:rsid w:val="00764C76"/>
    <w:rsid w:val="0078591C"/>
    <w:rsid w:val="007D1E8B"/>
    <w:rsid w:val="008149AA"/>
    <w:rsid w:val="008909BE"/>
    <w:rsid w:val="00924BEB"/>
    <w:rsid w:val="00A30203"/>
    <w:rsid w:val="00AC1C8F"/>
    <w:rsid w:val="00B67159"/>
    <w:rsid w:val="00BD2CAF"/>
    <w:rsid w:val="00C03B6C"/>
    <w:rsid w:val="00C24223"/>
    <w:rsid w:val="00C769C8"/>
    <w:rsid w:val="00D613A7"/>
    <w:rsid w:val="00DC57EF"/>
    <w:rsid w:val="00E07AF2"/>
    <w:rsid w:val="00E20564"/>
    <w:rsid w:val="00E244D2"/>
    <w:rsid w:val="00EE3D7A"/>
    <w:rsid w:val="00F02DE2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85BB"/>
  <w15:docId w15:val="{A842519D-3B44-4322-A3CA-9779B29F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7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qFormat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F2128D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F2128D"/>
    <w:rPr>
      <w:rFonts w:ascii="Calibri" w:eastAsia="Calibri" w:hAnsi="Calibri" w:cs="Times New Roman"/>
    </w:rPr>
  </w:style>
  <w:style w:type="character" w:customStyle="1" w:styleId="a8">
    <w:name w:val="Основной текст_"/>
    <w:link w:val="4"/>
    <w:qFormat/>
    <w:rsid w:val="00912797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9">
    <w:name w:val="Заголовок Знак"/>
    <w:basedOn w:val="a0"/>
    <w:link w:val="aa"/>
    <w:qFormat/>
    <w:rsid w:val="00621AC4"/>
    <w:rPr>
      <w:rFonts w:eastAsia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link w:val="30"/>
    <w:qFormat/>
    <w:rsid w:val="00621AC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ConsPlusNormal">
    <w:name w:val="ConsPlusNormal Знак"/>
    <w:link w:val="ConsPlusNormal0"/>
    <w:uiPriority w:val="99"/>
    <w:qFormat/>
    <w:locked/>
    <w:rsid w:val="00621AC4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Pr>
      <w:b/>
      <w:bCs/>
    </w:rPr>
  </w:style>
  <w:style w:type="character" w:customStyle="1" w:styleId="ac">
    <w:name w:val="Основной текст Знак"/>
    <w:qFormat/>
    <w:rPr>
      <w:sz w:val="28"/>
    </w:rPr>
  </w:style>
  <w:style w:type="character" w:customStyle="1" w:styleId="FontStyle13">
    <w:name w:val="Font Style13"/>
    <w:qFormat/>
    <w:rPr>
      <w:rFonts w:ascii="Arial" w:hAnsi="Arial" w:cs="Arial"/>
      <w:sz w:val="22"/>
      <w:szCs w:val="22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ad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FontStyle16">
    <w:name w:val="Font Style16"/>
    <w:qFormat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qFormat/>
    <w:rPr>
      <w:rFonts w:ascii="Arial" w:hAnsi="Arial" w:cs="Arial"/>
      <w:sz w:val="26"/>
      <w:szCs w:val="26"/>
    </w:rPr>
  </w:style>
  <w:style w:type="character" w:customStyle="1" w:styleId="ae">
    <w:name w:val="Символ нумерации"/>
    <w:qFormat/>
  </w:style>
  <w:style w:type="character" w:customStyle="1" w:styleId="11">
    <w:name w:val="Основной шрифт абзаца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Arial" w:hAnsi="Arial" w:cs="Arial"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paragraph" w:styleId="aa">
    <w:name w:val="Title"/>
    <w:basedOn w:val="a"/>
    <w:next w:val="af"/>
    <w:link w:val="a9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customStyle="1" w:styleId="61">
    <w:name w:val="Основной текст (6)1"/>
    <w:basedOn w:val="a"/>
    <w:link w:val="6"/>
    <w:uiPriority w:val="99"/>
    <w:qFormat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paragraph" w:styleId="af3">
    <w:name w:val="Normal (Web)"/>
    <w:basedOn w:val="a"/>
    <w:uiPriority w:val="99"/>
    <w:unhideWhenUsed/>
    <w:qFormat/>
    <w:rsid w:val="0038500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uiPriority w:val="1"/>
    <w:qFormat/>
    <w:rsid w:val="00B83865"/>
    <w:rPr>
      <w:rFonts w:eastAsia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link w:val="a8"/>
    <w:qFormat/>
    <w:rsid w:val="00912797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  <w:style w:type="paragraph" w:styleId="af5">
    <w:name w:val="List Paragraph"/>
    <w:basedOn w:val="a"/>
    <w:uiPriority w:val="34"/>
    <w:qFormat/>
    <w:rsid w:val="00621AC4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30">
    <w:name w:val="Основной текст (3)"/>
    <w:basedOn w:val="a"/>
    <w:link w:val="3"/>
    <w:qFormat/>
    <w:rsid w:val="00621AC4"/>
    <w:pPr>
      <w:widowControl w:val="0"/>
      <w:shd w:val="clear" w:color="auto" w:fill="FFFFFF"/>
      <w:spacing w:before="360" w:after="240" w:line="0" w:lineRule="atLeast"/>
      <w:ind w:hanging="34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0">
    <w:name w:val="ConsPlusNormal"/>
    <w:link w:val="ConsPlusNormal"/>
    <w:uiPriority w:val="99"/>
    <w:qFormat/>
    <w:rsid w:val="00621AC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qFormat/>
    <w:pPr>
      <w:suppressAutoHyphens w:val="0"/>
      <w:spacing w:line="240" w:lineRule="exact"/>
    </w:pPr>
    <w:rPr>
      <w:rFonts w:ascii="Verdana" w:hAnsi="Verdana" w:cs="Verdana"/>
      <w:lang w:val="en-US"/>
    </w:rPr>
  </w:style>
  <w:style w:type="paragraph" w:customStyle="1" w:styleId="af7">
    <w:name w:val="Знак Знак Знак Знак Знак Знак"/>
    <w:basedOn w:val="a"/>
    <w:qFormat/>
    <w:pPr>
      <w:suppressAutoHyphens w:val="0"/>
    </w:pPr>
    <w:rPr>
      <w:rFonts w:ascii="Verdana" w:hAnsi="Verdana" w:cs="Verdana"/>
      <w:lang w:val="en-US"/>
    </w:rPr>
  </w:style>
  <w:style w:type="paragraph" w:styleId="21">
    <w:name w:val="Body Text 2"/>
    <w:basedOn w:val="a"/>
    <w:qFormat/>
    <w:pPr>
      <w:suppressAutoHyphens w:val="0"/>
      <w:overflowPunct w:val="0"/>
      <w:ind w:firstLine="540"/>
      <w:jc w:val="both"/>
      <w:textAlignment w:val="baseline"/>
    </w:pPr>
    <w:rPr>
      <w:sz w:val="28"/>
    </w:rPr>
  </w:style>
  <w:style w:type="paragraph" w:customStyle="1" w:styleId="ConsPlusTitlePage">
    <w:name w:val="ConsPlusTitlePage"/>
    <w:qFormat/>
    <w:pPr>
      <w:widowControl w:val="0"/>
      <w:spacing w:after="200" w:line="276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f8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qFormat/>
    <w:pPr>
      <w:widowControl w:val="0"/>
      <w:suppressAutoHyphens w:val="0"/>
      <w:spacing w:line="32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qFormat/>
    <w:pPr>
      <w:widowControl w:val="0"/>
      <w:suppressAutoHyphens w:val="0"/>
      <w:spacing w:line="321" w:lineRule="exact"/>
      <w:ind w:firstLine="590"/>
      <w:jc w:val="both"/>
    </w:pPr>
    <w:rPr>
      <w:rFonts w:ascii="Arial" w:hAnsi="Arial" w:cs="Arial"/>
      <w:sz w:val="24"/>
      <w:szCs w:val="24"/>
    </w:rPr>
  </w:style>
  <w:style w:type="paragraph" w:styleId="af9">
    <w:name w:val="Subtitle"/>
    <w:basedOn w:val="aa"/>
    <w:next w:val="af"/>
    <w:qFormat/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caption1">
    <w:name w:val="caption1"/>
    <w:basedOn w:val="a"/>
    <w:next w:val="af9"/>
    <w:qFormat/>
    <w:pPr>
      <w:jc w:val="center"/>
    </w:pPr>
    <w:rPr>
      <w:sz w:val="28"/>
    </w:rPr>
  </w:style>
  <w:style w:type="numbering" w:customStyle="1" w:styleId="afa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b">
    <w:name w:val="Table Grid"/>
    <w:basedOn w:val="a1"/>
    <w:uiPriority w:val="39"/>
    <w:rsid w:val="00621AC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C769C8"/>
  </w:style>
  <w:style w:type="character" w:styleId="afc">
    <w:name w:val="footnote reference"/>
    <w:semiHidden/>
    <w:unhideWhenUsed/>
    <w:rsid w:val="00C769C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25E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d">
    <w:name w:val="Знак Знак Знак Знак Знак Знак Знак Знак Знак Знак"/>
    <w:basedOn w:val="a"/>
    <w:rsid w:val="00425EF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6567/5105f8a65c9bb5fdeb0811e663587a81fe06d7d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7211/0780242ba3d782ec5d2bfe034f229d218279d2f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MZN</dc:creator>
  <dc:description/>
  <cp:lastModifiedBy>User</cp:lastModifiedBy>
  <cp:revision>53</cp:revision>
  <dcterms:created xsi:type="dcterms:W3CDTF">2024-12-23T02:17:00Z</dcterms:created>
  <dcterms:modified xsi:type="dcterms:W3CDTF">2025-06-25T07:25:00Z</dcterms:modified>
  <dc:language>ru-RU</dc:language>
</cp:coreProperties>
</file>